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DC46" w14:textId="7B23B4FF" w:rsidR="00B60D35" w:rsidRPr="00B31838" w:rsidRDefault="00B60D35" w:rsidP="00B60D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9675973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4CDF5988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F7A9E8F" w14:textId="2533065D" w:rsidR="00B60D35" w:rsidRPr="006B7470" w:rsidRDefault="006B7470" w:rsidP="00B60D35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B7470">
        <w:rPr>
          <w:rFonts w:ascii="Times New Roman" w:hAnsi="Times New Roman" w:cs="Times New Roman"/>
          <w:bCs/>
          <w:sz w:val="28"/>
          <w:szCs w:val="28"/>
        </w:rPr>
        <w:t>от 13 июля 2021 г. № 2868р</w:t>
      </w:r>
    </w:p>
    <w:p w14:paraId="672A6659" w14:textId="77777777" w:rsidR="00A23104" w:rsidRDefault="00A23104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EB9629A" w14:textId="77777777" w:rsidR="00CA0632" w:rsidRPr="00C205D2" w:rsidRDefault="00CA0632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DD00229" w14:textId="77777777" w:rsidR="00A23104" w:rsidRPr="003F597B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ИЗВЕЩЕНИЕ</w:t>
      </w:r>
    </w:p>
    <w:p w14:paraId="30573466" w14:textId="77777777" w:rsidR="00C82C70" w:rsidRPr="003F597B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проведен</w:t>
      </w:r>
      <w:proofErr w:type="gramStart"/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кциона</w:t>
      </w:r>
    </w:p>
    <w:p w14:paraId="0A37501D" w14:textId="77777777" w:rsidR="003D1BE7" w:rsidRPr="003F597B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112C964" w14:textId="413C7E31" w:rsidR="003D1BE7" w:rsidRPr="00A04F52" w:rsidRDefault="776CEF75" w:rsidP="003D1B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основании распоряжения от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13 июля 2021 г. № 2868р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"О проведении аукциона на право заключения договоров на размещение нестационарных торговых объектов на территории городского округа "Город Архангельск" </w:t>
      </w:r>
      <w:r w:rsid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без предоставления земельного участка" Администрация </w:t>
      </w:r>
      <w:r w:rsid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городского округа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"Город Архангельск" (именуемая в дальнейшем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Организатор аукциона) сообщает о проведении аукциона 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размещение нестационарных торговых объектов на территории городского округа "Город Архангельск</w:t>
      </w:r>
      <w:proofErr w:type="gramEnd"/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без предоставления земельного участка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(именуемый в дальнейшем – Аукцион). </w:t>
      </w:r>
    </w:p>
    <w:p w14:paraId="5E113F18" w14:textId="57C0EA32" w:rsidR="003D1BE7" w:rsidRPr="00A04F52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Организатор Аукциона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3F597B"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"Город Архангельск", 163000, г. Архангельск, пл. В.И. Ленина, д. 5,</w:t>
      </w:r>
      <w:r w:rsidRPr="00A04F52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контактные телефоны (8182)607-290, (8182)607-299 (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№ 434); адрес электронной почты: 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pastorinams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69C638C" w14:textId="41CB59D0"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проводится на Ун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иверсальной торговой платформе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"Сбербанк – АСТ", в торговой секции "Приватизация, аренда и продажа прав" (</w:t>
      </w:r>
      <w:hyperlink r:id="rId9" w:history="1"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utp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sberbank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ast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NBT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/0/0/0/0</w:t>
        </w:r>
      </w:hyperlink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в соответствии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регламентом торговой секции.</w:t>
      </w:r>
    </w:p>
    <w:p w14:paraId="5805213A" w14:textId="6EF23837" w:rsidR="003D1BE7" w:rsidRPr="00A04F52" w:rsidRDefault="0067406D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Аукциона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августа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года, время начала проведения Аукциона </w:t>
      </w:r>
      <w:r w:rsidR="00E728B7" w:rsidRP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часов 00 минут по московскому времени. </w:t>
      </w:r>
    </w:p>
    <w:p w14:paraId="5DD6CF30" w14:textId="22A98193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срока подачи заявок на участие в Аукционе – 9 часов 00 минут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 </w:t>
      </w:r>
      <w:r w:rsidR="004D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года. </w:t>
      </w:r>
    </w:p>
    <w:p w14:paraId="4B082873" w14:textId="084485E5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Окончание срока подачи заявок: 9 часов 00 минут по московскому времени </w:t>
      </w:r>
      <w:r w:rsid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августа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года. </w:t>
      </w:r>
    </w:p>
    <w:p w14:paraId="576B48D3" w14:textId="5BDCB8EC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A82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года, с 9 часов 00 минут по московскому времени. </w:t>
      </w:r>
    </w:p>
    <w:p w14:paraId="02EB378F" w14:textId="77777777" w:rsidR="00B664E8" w:rsidRPr="00A04F52" w:rsidRDefault="00B664E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2243D" w14:textId="202F6EA3" w:rsidR="003D1BE7" w:rsidRPr="00A04F52" w:rsidRDefault="003F597B" w:rsidP="003F597B">
      <w:pPr>
        <w:pStyle w:val="a6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Предмет Аукциона</w:t>
      </w:r>
    </w:p>
    <w:p w14:paraId="6A05A809" w14:textId="77777777" w:rsidR="00644204" w:rsidRPr="00A04F52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D2748" w14:textId="230C0849" w:rsidR="00D81E35" w:rsidRPr="00A04F52" w:rsidRDefault="003F597B" w:rsidP="00C82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 </w:t>
      </w:r>
      <w:r w:rsidR="776CEF75"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5 лотов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без предоставления земельного участка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Договор) сроком на 7 лет.</w:t>
      </w:r>
    </w:p>
    <w:p w14:paraId="595F31A5" w14:textId="5D0E51DB" w:rsidR="00C82C70" w:rsidRPr="00A04F52" w:rsidRDefault="776CEF75" w:rsidP="00214B3F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/>
          <w:color w:val="000000" w:themeColor="text1"/>
          <w:sz w:val="28"/>
          <w:szCs w:val="28"/>
        </w:rPr>
        <w:t>тип (вид) нестационарного торгового объекта: киоск площадью 4 кв.</w:t>
      </w:r>
      <w:r w:rsidR="003F59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м; </w:t>
      </w:r>
    </w:p>
    <w:p w14:paraId="4EF31E96" w14:textId="47F69219" w:rsidR="00C82C70" w:rsidRPr="00A04F52" w:rsidRDefault="776CEF75" w:rsidP="00214B3F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/>
          <w:color w:val="000000" w:themeColor="text1"/>
          <w:sz w:val="28"/>
          <w:szCs w:val="28"/>
        </w:rPr>
        <w:t>специализация (назначение): питьевая вода;</w:t>
      </w:r>
    </w:p>
    <w:p w14:paraId="3C24D470" w14:textId="78462AD4" w:rsidR="004D7706" w:rsidRPr="00A04F52" w:rsidRDefault="776CEF75" w:rsidP="003D67C3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/>
          <w:color w:val="000000" w:themeColor="text1"/>
          <w:sz w:val="28"/>
          <w:szCs w:val="28"/>
        </w:rPr>
        <w:t>размещение в территориальных округах города Архангельска: Майская горка, Варавино-Фактория, Маймаксанский.</w:t>
      </w:r>
    </w:p>
    <w:p w14:paraId="65183EF0" w14:textId="610D246A" w:rsidR="00C82C70" w:rsidRPr="00A04F52" w:rsidRDefault="00640349" w:rsidP="0064034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E728B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унктом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Архангельско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>й городской Думы от 25 октября 2017 года №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581 строительство и установка нестационарных торговых объектов 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</w:t>
      </w:r>
      <w:r w:rsidR="00172781"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6797" w:rsidRPr="00A04F5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E4368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3E2069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объекта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36776C">
        <w:rPr>
          <w:rFonts w:ascii="Times New Roman" w:hAnsi="Times New Roman"/>
          <w:color w:val="000000" w:themeColor="text1"/>
          <w:sz w:val="28"/>
          <w:szCs w:val="28"/>
        </w:rPr>
        <w:t>победителем А</w:t>
      </w:r>
      <w:r w:rsidR="00146797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укциона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на согласование в </w:t>
      </w:r>
      <w:r w:rsidR="00172781" w:rsidRPr="00A04F52">
        <w:rPr>
          <w:rFonts w:ascii="Times New Roman" w:hAnsi="Times New Roman"/>
          <w:color w:val="000000" w:themeColor="text1"/>
          <w:spacing w:val="-6"/>
          <w:sz w:val="28"/>
          <w:szCs w:val="28"/>
        </w:rPr>
        <w:t>департамент градостроительства Администрации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"Город Архангельск" 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490432" w:rsidRPr="00A04F5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рядке, у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>твержденном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"Го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>род Архангельск" от 22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2019 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390 "Об утверждении Порядка согласования проектов благоустройства объектов, для размещения которых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50176A1E" w14:textId="08AF1B3A" w:rsidR="00C82C70" w:rsidRPr="00A04F52" w:rsidRDefault="003F597B" w:rsidP="00C82C7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</w:t>
      </w:r>
      <w:r w:rsidR="00E728B7" w:rsidRPr="00E728B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юридическое лицо или индивидуальный предприниматель, осуществляющий торговую деятельность. </w:t>
      </w:r>
    </w:p>
    <w:p w14:paraId="1E414C27" w14:textId="77777777" w:rsidR="003D1BE7" w:rsidRPr="00A04F52" w:rsidRDefault="003D1BE7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лотах 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552E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извещению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E83E9F" w14:textId="191158FA" w:rsidR="003D1BE7" w:rsidRPr="00A04F52" w:rsidRDefault="003F597B" w:rsidP="003F597B">
      <w:pPr>
        <w:spacing w:before="120" w:after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лота</w:t>
      </w:r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сумма задатка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шаг </w:t>
      </w:r>
      <w:r w:rsidR="00644204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</w:t>
      </w:r>
      <w:r w:rsidR="00CD213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705"/>
        <w:gridCol w:w="2100"/>
        <w:gridCol w:w="1276"/>
      </w:tblGrid>
      <w:tr w:rsidR="00A04F52" w:rsidRPr="00A04F52" w14:paraId="6A3F0DD7" w14:textId="77777777" w:rsidTr="00511ED1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494" w14:textId="77777777" w:rsidR="004F3FA1" w:rsidRDefault="004F3FA1" w:rsidP="001905D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Территориальный округ</w:t>
            </w:r>
          </w:p>
          <w:p w14:paraId="56BF611F" w14:textId="77777777" w:rsidR="00BF58D3" w:rsidRPr="00A04F52" w:rsidRDefault="00BF58D3" w:rsidP="001905D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5A" w14:textId="78B58D2F" w:rsidR="004F3FA1" w:rsidRPr="00A04F52" w:rsidRDefault="776CEF75" w:rsidP="005815C7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Начальная (минимальная) цена за право заключения договора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размещение нестационарного торгового объекта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предоставления земельного участка (с учетом НДС) 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EC1" w14:textId="67F64313" w:rsidR="005D589D" w:rsidRPr="00A04F52" w:rsidRDefault="004F3FA1" w:rsidP="005D5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заявки (задаток) на участие </w:t>
            </w:r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аукционе</w:t>
            </w:r>
            <w:r w:rsidR="005D589D"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90FC2" w14:textId="77777777" w:rsidR="004F3FA1" w:rsidRPr="00A04F52" w:rsidRDefault="004F3FA1" w:rsidP="005D58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4574D" w14:textId="77777777" w:rsidR="004F3FA1" w:rsidRPr="00A04F52" w:rsidRDefault="004F3FA1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аукциона</w:t>
            </w:r>
          </w:p>
          <w:p w14:paraId="66678027" w14:textId="77777777" w:rsidR="004F3FA1" w:rsidRPr="00A04F52" w:rsidRDefault="004F3FA1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</w:tr>
      <w:tr w:rsidR="00A04F52" w:rsidRPr="00A04F52" w14:paraId="25C2A3D1" w14:textId="77777777" w:rsidTr="00511ED1">
        <w:tc>
          <w:tcPr>
            <w:tcW w:w="2700" w:type="dxa"/>
            <w:tcBorders>
              <w:top w:val="single" w:sz="4" w:space="0" w:color="auto"/>
            </w:tcBorders>
          </w:tcPr>
          <w:p w14:paraId="5505F36A" w14:textId="77777777" w:rsidR="003D67C3" w:rsidRPr="00A04F52" w:rsidRDefault="003D67C3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143B9EBF" w14:textId="19A88866" w:rsidR="003D67C3" w:rsidRPr="00A04F52" w:rsidRDefault="776CEF75" w:rsidP="776CEF75">
            <w:pPr>
              <w:spacing w:after="0" w:line="240" w:lineRule="auto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4341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73F1150C" w14:textId="23E3A7CE" w:rsidR="003D67C3" w:rsidRPr="00A04F52" w:rsidRDefault="776CEF75" w:rsidP="00B60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BE2C79" w14:textId="23259F13" w:rsidR="003D67C3" w:rsidRPr="00A04F52" w:rsidRDefault="003F597B" w:rsidP="005D589D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</w:tr>
      <w:tr w:rsidR="00A04F52" w:rsidRPr="00A04F52" w14:paraId="63F7DD6B" w14:textId="77777777" w:rsidTr="00511ED1">
        <w:tc>
          <w:tcPr>
            <w:tcW w:w="2700" w:type="dxa"/>
          </w:tcPr>
          <w:p w14:paraId="1CBA2F18" w14:textId="77777777" w:rsidR="003D67C3" w:rsidRPr="00A04F52" w:rsidRDefault="776CEF75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Варавино-Фактория</w:t>
            </w:r>
          </w:p>
        </w:tc>
        <w:tc>
          <w:tcPr>
            <w:tcW w:w="3705" w:type="dxa"/>
          </w:tcPr>
          <w:p w14:paraId="72EFB992" w14:textId="5F3384D5" w:rsidR="003D67C3" w:rsidRPr="00A04F52" w:rsidRDefault="776CEF75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1447</w:t>
            </w:r>
          </w:p>
        </w:tc>
        <w:tc>
          <w:tcPr>
            <w:tcW w:w="2100" w:type="dxa"/>
          </w:tcPr>
          <w:p w14:paraId="287A8620" w14:textId="37851A4F" w:rsidR="003D67C3" w:rsidRPr="00A04F52" w:rsidRDefault="776CEF75" w:rsidP="776CEF75">
            <w:pPr>
              <w:spacing w:after="0"/>
              <w:ind w:firstLine="67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346E7D3E" w14:textId="7554701E" w:rsidR="003D67C3" w:rsidRPr="00A04F52" w:rsidRDefault="003F597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A04F52" w:rsidRPr="00A04F52" w14:paraId="325BDE59" w14:textId="77777777" w:rsidTr="00511ED1">
        <w:tc>
          <w:tcPr>
            <w:tcW w:w="2700" w:type="dxa"/>
          </w:tcPr>
          <w:p w14:paraId="118DB42C" w14:textId="3A11505B" w:rsidR="00EE05C9" w:rsidRPr="00A04F52" w:rsidRDefault="776CEF75" w:rsidP="776CEF75">
            <w:pPr>
              <w:tabs>
                <w:tab w:val="left" w:pos="3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Варавино-Фактория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границах улиц:</w:t>
            </w:r>
            <w:proofErr w:type="gramEnd"/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Силикатчиков, КИЗ "Сили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кат" 1-я линия, КИЗ "Силикат" </w:t>
            </w:r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2-я линия)</w:t>
            </w:r>
            <w:proofErr w:type="gramEnd"/>
          </w:p>
        </w:tc>
        <w:tc>
          <w:tcPr>
            <w:tcW w:w="3705" w:type="dxa"/>
          </w:tcPr>
          <w:p w14:paraId="28C63525" w14:textId="00B9D32F" w:rsidR="00EE05C9" w:rsidRPr="00A04F52" w:rsidRDefault="776CEF75" w:rsidP="776CEF75">
            <w:pPr>
              <w:spacing w:after="0"/>
              <w:ind w:firstLine="67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100" w:type="dxa"/>
          </w:tcPr>
          <w:p w14:paraId="727912C1" w14:textId="25C40FAB" w:rsidR="00EE05C9" w:rsidRPr="00A04F52" w:rsidRDefault="776CEF75" w:rsidP="776CEF75">
            <w:pPr>
              <w:spacing w:after="0"/>
              <w:ind w:firstLine="67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CE5C2CF" w14:textId="435E3565" w:rsidR="00EE05C9" w:rsidRPr="00A04F52" w:rsidRDefault="003F597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04F52" w:rsidRPr="00A04F52" w14:paraId="053E4533" w14:textId="77777777" w:rsidTr="00511ED1">
        <w:tc>
          <w:tcPr>
            <w:tcW w:w="2700" w:type="dxa"/>
          </w:tcPr>
          <w:p w14:paraId="70ACA102" w14:textId="77777777" w:rsidR="003D67C3" w:rsidRPr="00A04F52" w:rsidRDefault="003D67C3" w:rsidP="00C205D2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</w:p>
        </w:tc>
        <w:tc>
          <w:tcPr>
            <w:tcW w:w="3705" w:type="dxa"/>
          </w:tcPr>
          <w:p w14:paraId="1438D45F" w14:textId="3A8C1D06" w:rsidR="003D67C3" w:rsidRPr="00A04F52" w:rsidRDefault="776CEF75" w:rsidP="776CEF75">
            <w:pPr>
              <w:tabs>
                <w:tab w:val="left" w:pos="1005"/>
              </w:tabs>
              <w:spacing w:after="0"/>
              <w:ind w:firstLine="67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100" w:type="dxa"/>
          </w:tcPr>
          <w:p w14:paraId="02DB3DEA" w14:textId="1DB08062" w:rsidR="003D67C3" w:rsidRPr="00A04F52" w:rsidRDefault="776CEF75" w:rsidP="776CEF75">
            <w:pPr>
              <w:spacing w:after="0"/>
              <w:ind w:firstLine="67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D8F450F" w14:textId="10333F55" w:rsidR="003D67C3" w:rsidRPr="00A04F52" w:rsidRDefault="003F597B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5F8D4623" w14:textId="70B799A4" w:rsidR="00A23104" w:rsidRPr="00A04F52" w:rsidRDefault="00A23104" w:rsidP="00511E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1CAA62E" w14:textId="498F3208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10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616E2C7B" w14:textId="3A7823C0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Оплата цены Договора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порядке и размере:</w:t>
      </w:r>
    </w:p>
    <w:p w14:paraId="035D4D67" w14:textId="30E4BBD1" w:rsidR="005B77CF" w:rsidRPr="00A04F52" w:rsidRDefault="005B77CF" w:rsidP="00511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единовременным платежом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 подписания Договора;</w:t>
      </w:r>
    </w:p>
    <w:p w14:paraId="7CA68305" w14:textId="2C2A8CEC" w:rsidR="00733343" w:rsidRPr="00A04F52" w:rsidRDefault="005B77CF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рассрочку ежегодно равными частями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5909E5" w14:textId="77777777" w:rsidR="00E80800" w:rsidRPr="00A04F52" w:rsidRDefault="005942C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счет оплаты засчитывается сумма внесенного задатка.</w:t>
      </w:r>
    </w:p>
    <w:p w14:paraId="434D7B09" w14:textId="0E2AA53E" w:rsidR="00733343" w:rsidRPr="00A04F52" w:rsidRDefault="003F597B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подает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14:paraId="1E290AE0" w14:textId="77777777" w:rsidR="00733343" w:rsidRPr="00A04F52" w:rsidRDefault="00733343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60061E4C" w14:textId="1511F020" w:rsidR="00083C7C" w:rsidRPr="00A04F52" w:rsidRDefault="776CEF75" w:rsidP="776CEF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3F28632B" w14:textId="77777777" w:rsidR="003F597B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A45DD1" w14:textId="0B714ADB" w:rsidR="00CD2136" w:rsidRPr="003F597B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D213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</w:t>
      </w:r>
    </w:p>
    <w:p w14:paraId="44EAFD9C" w14:textId="77777777" w:rsidR="00CD2136" w:rsidRPr="00A04F52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48558" w14:textId="44170A95" w:rsidR="00CD2136" w:rsidRPr="00A04F52" w:rsidRDefault="003F597B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заявитель, получивший аккредитацию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зарегистрированный на ЭП, подает заявку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согласно приложению №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настоящему извещению и в соответствии с инструкцией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заполнению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электронной форме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3 к настоящему извещению.</w:t>
      </w:r>
    </w:p>
    <w:p w14:paraId="4B94D5A5" w14:textId="77777777" w:rsidR="00AE16E0" w:rsidRPr="00A04F52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6D1E8B" w14:textId="3E0689DD" w:rsidR="00AE16E0" w:rsidRPr="003F597B" w:rsidRDefault="003F597B" w:rsidP="003F597B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приема заявки</w:t>
      </w:r>
    </w:p>
    <w:p w14:paraId="3DEEC669" w14:textId="77777777" w:rsidR="00AE16E0" w:rsidRPr="00A04F52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1B1F9E" w14:textId="61226974" w:rsidR="00AE16E0" w:rsidRDefault="003F597B" w:rsidP="00511ED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</w:t>
      </w:r>
      <w:r w:rsidR="00644204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любое время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момента размещения на официальном информационном Интернет-портале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</w:t>
      </w:r>
      <w:r w:rsidR="00A452C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предусмотренных документацией об </w:t>
      </w:r>
      <w:r w:rsidR="00A452C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укционе, даты и времени окончания срока подачи заявок на участие</w:t>
      </w:r>
      <w:proofErr w:type="gramEnd"/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52C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14:paraId="6EC2B0A5" w14:textId="22F178CC" w:rsidR="00AE16E0" w:rsidRPr="00A04F52" w:rsidRDefault="003F597B" w:rsidP="00511ED1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="00AE16E0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должна содержать следующие документы и информацию: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66F63E09" w14:textId="77777777" w:rsidR="00AE16E0" w:rsidRPr="00A04F52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1228129C" w14:textId="776CF9B8" w:rsidR="00AE16E0" w:rsidRPr="00A04F52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633E52A2" w14:textId="77777777" w:rsidR="00AE16E0" w:rsidRPr="00A04F52" w:rsidRDefault="00985515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юридических лиц:</w:t>
      </w:r>
    </w:p>
    <w:p w14:paraId="3D0EC2FE" w14:textId="11137A9C"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2CEEBE1F" w14:textId="335366F9"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04338751" w14:textId="56727C0E"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3CF9907F" w14:textId="4F0817CC" w:rsidR="00AE16E0" w:rsidRPr="003F597B" w:rsidRDefault="003F597B" w:rsidP="003F597B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10.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776CEF75" w:rsidRP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подать только одну заявку на участие в Аукционе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лоту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E40A0F" w14:textId="0485C6C4" w:rsidR="00AE16E0" w:rsidRPr="003F597B" w:rsidRDefault="003F597B" w:rsidP="003F597B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11.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Заявитель вправе отозвать заявку </w:t>
      </w:r>
      <w:proofErr w:type="gramStart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59EE3C93" w14:textId="57044D16" w:rsidR="00AE16E0" w:rsidRPr="003F597B" w:rsidRDefault="003F597B" w:rsidP="003F597B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12.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03787F81" w14:textId="54006FC2" w:rsidR="00AE16E0" w:rsidRPr="003F597B" w:rsidRDefault="003F597B" w:rsidP="003F597B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13.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7912B650" w14:textId="21A23B8F" w:rsidR="00AE16E0" w:rsidRPr="003F597B" w:rsidRDefault="003F597B" w:rsidP="003F597B">
      <w:pPr>
        <w:tabs>
          <w:tab w:val="left" w:pos="851"/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14.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Поступление заявки на участие в Аукционе является поручением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7543121E" w14:textId="67D397A7" w:rsidR="00AE16E0" w:rsidRPr="003F597B" w:rsidRDefault="003F597B" w:rsidP="003F597B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15.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одного дня, следующего за днем получения заявки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1804B7B4" w14:textId="3B6DDACA" w:rsidR="00AE16E0" w:rsidRPr="00A04F52" w:rsidRDefault="00AE16E0" w:rsidP="0098551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3FACD209" w14:textId="006F55F2" w:rsidR="00AE16E0" w:rsidRPr="00A04F52" w:rsidRDefault="00AE16E0" w:rsidP="0098551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присвоенный регистрационный номер заявки.</w:t>
      </w:r>
    </w:p>
    <w:p w14:paraId="1D475D8C" w14:textId="10731F78" w:rsidR="00AE16E0" w:rsidRPr="00A04F52" w:rsidRDefault="003F597B" w:rsidP="003F597B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16. 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отклоняется оператором ЭП в случае если:</w:t>
      </w:r>
    </w:p>
    <w:p w14:paraId="327AB5CC" w14:textId="77777777" w:rsidR="00AE16E0" w:rsidRPr="00A04F52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3874C533" w14:textId="28635572" w:rsidR="00AE16E0" w:rsidRPr="00A04F52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на счете заявителя, открытом для проведения операций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в отношении которых не осуществлено блокирование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проведения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укциона;</w:t>
      </w:r>
    </w:p>
    <w:p w14:paraId="2A4D041E" w14:textId="77777777" w:rsidR="00AE16E0" w:rsidRPr="00A04F52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поступила после дня и времени окончания срока подачи заявок.</w:t>
      </w:r>
    </w:p>
    <w:p w14:paraId="11DCE9AD" w14:textId="315597F3" w:rsidR="00CE4399" w:rsidRPr="003F597B" w:rsidRDefault="003F597B" w:rsidP="003F597B">
      <w:pPr>
        <w:suppressAutoHyphens/>
        <w:overflowPunct w:val="0"/>
        <w:autoSpaceDE w:val="0"/>
        <w:spacing w:after="0" w:line="240" w:lineRule="atLeast"/>
        <w:ind w:left="361" w:firstLine="34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определения участников Аукциона</w:t>
      </w:r>
      <w:r w:rsid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10 августа </w:t>
      </w:r>
      <w:r w:rsidR="776CEF75" w:rsidRPr="003F5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 года.</w:t>
      </w:r>
    </w:p>
    <w:p w14:paraId="6BD9030A" w14:textId="60FFDC1B" w:rsidR="00CE4399" w:rsidRPr="00A04F52" w:rsidRDefault="007D4A4D" w:rsidP="007D4A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18. 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2CEFB59E" w14:textId="5B57B47E" w:rsidR="00CE4399" w:rsidRPr="00A04F52" w:rsidRDefault="007D4A4D" w:rsidP="007D4A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19. 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5D74F1A5" w14:textId="3D9121F4" w:rsidR="00AE16E0" w:rsidRDefault="007D4A4D" w:rsidP="007D4A4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20.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Интернет-портале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направляет для размещения на ЭП.</w:t>
      </w:r>
    </w:p>
    <w:p w14:paraId="093167F2" w14:textId="77777777" w:rsidR="007D4A4D" w:rsidRPr="00A04F52" w:rsidRDefault="007D4A4D" w:rsidP="007D4A4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D4730" w14:textId="476D67A2" w:rsidR="00C47F6D" w:rsidRPr="00A04F52" w:rsidRDefault="007D4A4D" w:rsidP="007D4A4D">
      <w:pPr>
        <w:pStyle w:val="a6"/>
        <w:tabs>
          <w:tab w:val="left" w:pos="284"/>
        </w:tabs>
        <w:spacing w:after="0" w:line="240" w:lineRule="atLeast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7F6D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задатка</w:t>
      </w:r>
    </w:p>
    <w:p w14:paraId="45FB0818" w14:textId="77777777" w:rsidR="00C47F6D" w:rsidRPr="00A04F5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19EFD" w14:textId="1858A8C9" w:rsidR="00C47F6D" w:rsidRPr="007D4A4D" w:rsidRDefault="007D4A4D" w:rsidP="007D4A4D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вносит задаток в размере 10 процентов от начальной цены Аукциона. </w:t>
      </w:r>
    </w:p>
    <w:p w14:paraId="7A27ED8F" w14:textId="000BAB12" w:rsidR="00C47F6D" w:rsidRPr="007D4A4D" w:rsidRDefault="007D4A4D" w:rsidP="007D4A4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22.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задатка за лот, расположенный в территориальном округе города Архангельска:</w:t>
      </w:r>
    </w:p>
    <w:tbl>
      <w:tblPr>
        <w:tblW w:w="9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0"/>
        <w:gridCol w:w="3795"/>
        <w:gridCol w:w="1554"/>
      </w:tblGrid>
      <w:tr w:rsidR="00A04F52" w:rsidRPr="00A04F52" w14:paraId="673316D8" w14:textId="77777777" w:rsidTr="00511ED1">
        <w:trPr>
          <w:trHeight w:val="382"/>
        </w:trPr>
        <w:tc>
          <w:tcPr>
            <w:tcW w:w="4170" w:type="dxa"/>
          </w:tcPr>
          <w:p w14:paraId="66EFA8C5" w14:textId="77777777" w:rsidR="003D67C3" w:rsidRPr="00A04F52" w:rsidRDefault="003D67C3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3795" w:type="dxa"/>
            <w:shd w:val="clear" w:color="auto" w:fill="auto"/>
          </w:tcPr>
          <w:p w14:paraId="07F4A629" w14:textId="78CAFDF6" w:rsidR="003D67C3" w:rsidRPr="00A04F52" w:rsidRDefault="776CEF75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Улица Дружбы, 31</w:t>
            </w:r>
          </w:p>
        </w:tc>
        <w:tc>
          <w:tcPr>
            <w:tcW w:w="1554" w:type="dxa"/>
          </w:tcPr>
          <w:p w14:paraId="6A6948AF" w14:textId="68DD324F" w:rsidR="003D67C3" w:rsidRPr="00A04F52" w:rsidRDefault="776CEF75" w:rsidP="00511ED1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 рубля</w:t>
            </w:r>
          </w:p>
        </w:tc>
      </w:tr>
      <w:tr w:rsidR="00A04F52" w:rsidRPr="00A04F52" w14:paraId="3BAC644C" w14:textId="77777777" w:rsidTr="00511ED1">
        <w:trPr>
          <w:trHeight w:val="382"/>
        </w:trPr>
        <w:tc>
          <w:tcPr>
            <w:tcW w:w="4170" w:type="dxa"/>
          </w:tcPr>
          <w:p w14:paraId="09AF4961" w14:textId="77777777" w:rsidR="00BF4188" w:rsidRPr="00A04F52" w:rsidRDefault="00BF4188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Варавино-Фактория</w:t>
            </w:r>
          </w:p>
        </w:tc>
        <w:tc>
          <w:tcPr>
            <w:tcW w:w="3795" w:type="dxa"/>
            <w:shd w:val="clear" w:color="auto" w:fill="auto"/>
          </w:tcPr>
          <w:p w14:paraId="3BEDE7E6" w14:textId="5CE6AA2D" w:rsidR="00BF4188" w:rsidRPr="00A04F52" w:rsidRDefault="776CEF75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Улица Кононова, 2</w:t>
            </w:r>
          </w:p>
          <w:p w14:paraId="40FBDF29" w14:textId="6794C3B1" w:rsidR="00BF4188" w:rsidRPr="00A04F52" w:rsidRDefault="776CEF75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Проспект Ленинградский, 381, корп. 3</w:t>
            </w:r>
          </w:p>
        </w:tc>
        <w:tc>
          <w:tcPr>
            <w:tcW w:w="1554" w:type="dxa"/>
          </w:tcPr>
          <w:p w14:paraId="468B4B14" w14:textId="51B7D924" w:rsidR="00BF4188" w:rsidRPr="00A04F52" w:rsidRDefault="776CEF75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рублей</w:t>
            </w:r>
          </w:p>
          <w:p w14:paraId="792DAD51" w14:textId="050EA847" w:rsidR="00BF4188" w:rsidRPr="00A04F52" w:rsidRDefault="776CEF75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рублей</w:t>
            </w:r>
          </w:p>
        </w:tc>
      </w:tr>
      <w:tr w:rsidR="00A04F52" w:rsidRPr="00A04F52" w14:paraId="68F19246" w14:textId="77777777" w:rsidTr="00511ED1">
        <w:trPr>
          <w:trHeight w:val="382"/>
        </w:trPr>
        <w:tc>
          <w:tcPr>
            <w:tcW w:w="4170" w:type="dxa"/>
          </w:tcPr>
          <w:p w14:paraId="18EC2BC9" w14:textId="1EE4A946" w:rsidR="00BF4188" w:rsidRPr="00A04F52" w:rsidRDefault="776CEF75" w:rsidP="00511ED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Варавино-Фактория 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границах улиц:</w:t>
            </w:r>
            <w:proofErr w:type="gramEnd"/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Силикатчиков, КИЗ "Силикат" 1-я линия, КИЗ "Силикат" 2-я линия)</w:t>
            </w:r>
            <w:proofErr w:type="gramEnd"/>
          </w:p>
        </w:tc>
        <w:tc>
          <w:tcPr>
            <w:tcW w:w="3795" w:type="dxa"/>
            <w:shd w:val="clear" w:color="auto" w:fill="auto"/>
          </w:tcPr>
          <w:p w14:paraId="4BB32626" w14:textId="0F207F5E" w:rsidR="00BF4188" w:rsidRPr="00A04F52" w:rsidRDefault="776CEF75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Улица Силикатчиков, 1, корп. 3</w:t>
            </w:r>
          </w:p>
          <w:p w14:paraId="3F3A5B40" w14:textId="3C17D33F" w:rsidR="00BF4188" w:rsidRPr="00A04F52" w:rsidRDefault="00BF4188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D06E21" w14:textId="061D54CB" w:rsidR="00BF4188" w:rsidRPr="00A04F52" w:rsidRDefault="00BF4188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F9B2152" w14:textId="2F280842" w:rsidR="00BF4188" w:rsidRPr="00A04F52" w:rsidRDefault="776CEF75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рублей</w:t>
            </w:r>
          </w:p>
        </w:tc>
      </w:tr>
      <w:tr w:rsidR="00A04F52" w:rsidRPr="00A04F52" w14:paraId="66BC243A" w14:textId="77777777" w:rsidTr="00511ED1">
        <w:trPr>
          <w:trHeight w:val="273"/>
        </w:trPr>
        <w:tc>
          <w:tcPr>
            <w:tcW w:w="4170" w:type="dxa"/>
          </w:tcPr>
          <w:p w14:paraId="5288CF84" w14:textId="77777777" w:rsidR="00BF4188" w:rsidRPr="00A04F52" w:rsidRDefault="00BF4188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</w:p>
        </w:tc>
        <w:tc>
          <w:tcPr>
            <w:tcW w:w="3795" w:type="dxa"/>
            <w:shd w:val="clear" w:color="auto" w:fill="auto"/>
            <w:hideMark/>
          </w:tcPr>
          <w:p w14:paraId="7DB80A2C" w14:textId="016C0491" w:rsidR="00BF4188" w:rsidRPr="00A04F52" w:rsidRDefault="776CEF75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Улица Капитана Хромцова, 10</w:t>
            </w:r>
          </w:p>
        </w:tc>
        <w:tc>
          <w:tcPr>
            <w:tcW w:w="1554" w:type="dxa"/>
          </w:tcPr>
          <w:p w14:paraId="620DA03E" w14:textId="3CDFD52F" w:rsidR="00BF4188" w:rsidRPr="00A04F52" w:rsidRDefault="776CEF75" w:rsidP="00511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рублей</w:t>
            </w:r>
          </w:p>
        </w:tc>
      </w:tr>
    </w:tbl>
    <w:p w14:paraId="3202A2C1" w14:textId="6B0DC326" w:rsidR="00850102" w:rsidRPr="00A04F52" w:rsidRDefault="007D4A4D" w:rsidP="007D4A4D">
      <w:pPr>
        <w:pStyle w:val="ConsPlusNormal"/>
        <w:tabs>
          <w:tab w:val="left" w:pos="1134"/>
        </w:tabs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23.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Внесенный задаток претендентам, не допущенным к участию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6BFDD219" w14:textId="59AD21E5" w:rsidR="00850102" w:rsidRPr="00A04F52" w:rsidRDefault="007D4A4D" w:rsidP="007D4A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Претендент, подавший заявку на участие в Аукционе, вправе отозвать заявку на участие в Аукционе не позднее окончания срока подачи заявок,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3F9E9981" w14:textId="0A047F92" w:rsidR="00C717FB" w:rsidRPr="00A04F52" w:rsidRDefault="007D4A4D" w:rsidP="007D4A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25.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победитель Аукциона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81CF26A" w14:textId="7525F43D" w:rsidR="00C47F6D" w:rsidRPr="00A04F52" w:rsidRDefault="007D4A4D" w:rsidP="007D4A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26.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вправе отказаться от Аукциона не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9F31CB" w14:textId="77777777" w:rsidR="00850102" w:rsidRPr="00A04F52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E70141" w14:textId="1277C82F" w:rsidR="00AE16E0" w:rsidRPr="007D4A4D" w:rsidRDefault="007D4A4D" w:rsidP="007D4A4D">
      <w:pPr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E16E0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Требования к участникам </w:t>
      </w:r>
      <w:r w:rsidR="00A1714A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16E0" w:rsidRPr="007D4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укциона</w:t>
      </w:r>
    </w:p>
    <w:p w14:paraId="53128261" w14:textId="77777777" w:rsidR="00AE16E0" w:rsidRPr="00A04F5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7E779F" w14:textId="4C17BA20" w:rsidR="005A295E" w:rsidRPr="007D4A4D" w:rsidRDefault="007D4A4D" w:rsidP="007D4A4D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Претендентом на участие в Аукционе может быть любое юридическое лицо, осуществляющее торговую деятельность, независимо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19BDFA34" w14:textId="454C421B" w:rsidR="00AE16E0" w:rsidRPr="007D4A4D" w:rsidRDefault="007D4A4D" w:rsidP="007D4A4D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28.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заявитель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7694362D" w14:textId="4F389F54" w:rsidR="00AE16E0" w:rsidRPr="007D4A4D" w:rsidRDefault="007D4A4D" w:rsidP="007D4A4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29.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14:paraId="43D3546B" w14:textId="699EB3C4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проведения ликвидации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06187D81" w14:textId="5B68C5B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Кодексом Российской Федерации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2B95A5A7" w14:textId="5D75EE3F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029A0C74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14:paraId="246B4F23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12DAE20" w14:textId="1041CEE4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подало две и более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отношении одного и того же лота при условии, если поданные ранее заявки таким лицом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отозваны.</w:t>
      </w:r>
      <w:proofErr w:type="gramEnd"/>
    </w:p>
    <w:p w14:paraId="169226F6" w14:textId="5320E5CD" w:rsidR="00AE16E0" w:rsidRPr="007D4A4D" w:rsidRDefault="007D4A4D" w:rsidP="007D4A4D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30.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отказа в допуске к участию в Аукционе являются:</w:t>
      </w:r>
    </w:p>
    <w:p w14:paraId="57325036" w14:textId="77777777" w:rsidR="000D4D9B" w:rsidRPr="00511ED1" w:rsidRDefault="00AE16E0" w:rsidP="00F71CFC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непредставление документов, подтверждающих </w:t>
      </w:r>
      <w:r w:rsidR="005B787A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осуществление заявителем</w:t>
      </w:r>
      <w:r w:rsidR="000D4D9B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торговой деятельности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или</w:t>
      </w:r>
      <w:r w:rsidR="000D4D9B" w:rsidRPr="00511E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наличие в таких документах недостоверных сведений;</w:t>
      </w:r>
    </w:p>
    <w:p w14:paraId="27B645C6" w14:textId="5C4C70E9" w:rsidR="005A5B26" w:rsidRPr="00A04F52" w:rsidRDefault="776CEF75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относится к лицам, указанным в пункте </w:t>
      </w:r>
      <w:r w:rsidR="007D4A4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2E9E37" w14:textId="77777777" w:rsidR="00AE16E0" w:rsidRPr="00A04F52" w:rsidRDefault="00AE16E0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14:paraId="62486C05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71D20B" w14:textId="5CB9F3CA" w:rsidR="00012288" w:rsidRPr="007D4A4D" w:rsidRDefault="007D4A4D" w:rsidP="007D4A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VI</w:t>
      </w: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2288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победителя </w:t>
      </w:r>
      <w:r w:rsidR="00A1714A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2288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укциона</w:t>
      </w:r>
    </w:p>
    <w:p w14:paraId="4101652C" w14:textId="77777777" w:rsidR="00012288" w:rsidRPr="00A04F52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8C91EC" w14:textId="3848F37B" w:rsidR="00012288" w:rsidRPr="007D4A4D" w:rsidRDefault="007D4A4D" w:rsidP="007D4A4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определения победителя Аукциона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(</w:t>
      </w:r>
      <w:r w:rsidR="00D228D0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окончания аукциона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B73211" w14:textId="5B033625" w:rsidR="00F373F0" w:rsidRPr="00A04F52" w:rsidRDefault="007D4A4D" w:rsidP="007D4A4D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32.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Выигравшим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признается лицо, предложившее наиболее высокую цену 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право заключения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нестационарного торгового объекта</w:t>
      </w:r>
      <w:r w:rsidR="00E9548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3F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 участка (далее – Договор).</w:t>
      </w:r>
    </w:p>
    <w:p w14:paraId="4B99056E" w14:textId="77777777" w:rsidR="00644204" w:rsidRPr="00A04F52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2B21AE" w14:textId="2F7F9D34" w:rsidR="00012288" w:rsidRPr="00D228D0" w:rsidRDefault="00D228D0" w:rsidP="00D228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2288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заключения </w:t>
      </w:r>
      <w:r w:rsidR="00A1714A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12288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</w:p>
    <w:p w14:paraId="1299C43A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E639BF" w14:textId="47AAB8CD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5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Договор заключается победителем Аукциона и Администрацией муниципального образования "Город Архангельск" по форме согласно приложению № 5 к настоящему извещению.</w:t>
      </w:r>
    </w:p>
    <w:p w14:paraId="0D4B9835" w14:textId="7B805E3F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7AB16158" w14:textId="6EF4AC69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A04F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CA0C098" w14:textId="66AA68FB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F32866" w:rsidRPr="00F328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2059948B" w14:textId="5FB23E63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8DA43DD" w14:textId="1635D220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proofErr w:type="gramStart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цене, предложенной участником  Аукциона, сделавшим предпоследнее предложение о цене</w:t>
      </w:r>
      <w:proofErr w:type="gramEnd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E0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4088C" w14:textId="78DC7370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4E0952EC" w14:textId="66582019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(участник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предпоследнее предложение о цене Договора, в случае уклонения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от заключения Договора) вправе досрочно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05B90" w14:textId="08D00FD1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не подано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об отказе в допуске к участию в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всем претендентам, подавшим заявки.</w:t>
      </w:r>
    </w:p>
    <w:p w14:paraId="3100391F" w14:textId="30FB6CCA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 признается несостоявшимся, если в нем участвовал только один участник, в том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2586D93" w14:textId="52D77E2F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Договор заключается с единственным участником  Аукциона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7AB5E4CF" w14:textId="5DD44D73" w:rsidR="00012288" w:rsidRPr="00A04F52" w:rsidRDefault="00D228D0" w:rsidP="00D228D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 Аукциона в случаях, указанных в пункте 7.6, а также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Договор не был заключен с победителем  Аукциона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14:paraId="4DDBEF00" w14:textId="77777777" w:rsidR="00A04F52" w:rsidRPr="00A04F52" w:rsidRDefault="00A04F52" w:rsidP="00A04F5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9DDFB" w14:textId="0D1086F3" w:rsidR="00383D57" w:rsidRPr="00D228D0" w:rsidRDefault="00D228D0" w:rsidP="00D228D0">
      <w:pPr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162E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83D57" w:rsidRPr="00D228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Разрешение споров</w:t>
      </w:r>
    </w:p>
    <w:p w14:paraId="3461D779" w14:textId="77777777" w:rsidR="00383D57" w:rsidRPr="00A04F52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1E6869" w14:textId="4AECD036" w:rsidR="00511ED1" w:rsidRDefault="00D228D0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участник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укциона, не согласные с решением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действиями организатора или оператора ЭП, вправе обжаловать их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порядке.</w:t>
      </w:r>
    </w:p>
    <w:p w14:paraId="74246EB7" w14:textId="77777777" w:rsidR="00511ED1" w:rsidRDefault="00511ED1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EBF3C5" w14:textId="6F1C8DD7" w:rsidR="00AA4A24" w:rsidRPr="006C7C41" w:rsidRDefault="00511ED1" w:rsidP="005C550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bookmarkStart w:id="2" w:name="_GoBack"/>
      <w:bookmarkEnd w:id="2"/>
    </w:p>
    <w:sectPr w:rsidR="00AA4A24" w:rsidRPr="006C7C41" w:rsidSect="005C550B"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346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778D3" w14:textId="77777777" w:rsidR="00DF514D" w:rsidRDefault="00DF514D" w:rsidP="00AE16E0">
      <w:pPr>
        <w:spacing w:after="0" w:line="240" w:lineRule="auto"/>
      </w:pPr>
      <w:r>
        <w:separator/>
      </w:r>
    </w:p>
  </w:endnote>
  <w:endnote w:type="continuationSeparator" w:id="0">
    <w:p w14:paraId="568AE2CC" w14:textId="77777777" w:rsidR="00DF514D" w:rsidRDefault="00DF514D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76CEF75" w14:paraId="7CA12668" w14:textId="77777777" w:rsidTr="776CEF75">
      <w:tc>
        <w:tcPr>
          <w:tcW w:w="3635" w:type="dxa"/>
        </w:tcPr>
        <w:p w14:paraId="61AF640E" w14:textId="3C83E643" w:rsidR="776CEF75" w:rsidRDefault="776CEF75" w:rsidP="776CEF75">
          <w:pPr>
            <w:pStyle w:val="af5"/>
            <w:ind w:left="-115"/>
          </w:pPr>
        </w:p>
      </w:tc>
      <w:tc>
        <w:tcPr>
          <w:tcW w:w="3635" w:type="dxa"/>
        </w:tcPr>
        <w:p w14:paraId="258D5E57" w14:textId="64437DE7" w:rsidR="776CEF75" w:rsidRDefault="776CEF75" w:rsidP="776CEF75">
          <w:pPr>
            <w:pStyle w:val="af5"/>
            <w:jc w:val="center"/>
          </w:pPr>
        </w:p>
      </w:tc>
      <w:tc>
        <w:tcPr>
          <w:tcW w:w="3635" w:type="dxa"/>
        </w:tcPr>
        <w:p w14:paraId="7E6B5D86" w14:textId="23D55209" w:rsidR="776CEF75" w:rsidRDefault="776CEF75" w:rsidP="776CEF75">
          <w:pPr>
            <w:pStyle w:val="af5"/>
            <w:ind w:right="-115"/>
            <w:jc w:val="right"/>
          </w:pPr>
        </w:p>
      </w:tc>
    </w:tr>
  </w:tbl>
  <w:p w14:paraId="4C5B04BC" w14:textId="28693DAC" w:rsidR="776CEF75" w:rsidRDefault="776CEF75" w:rsidP="776CEF7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76CEF75" w14:paraId="09CAFE5A" w14:textId="77777777" w:rsidTr="776CEF75">
      <w:tc>
        <w:tcPr>
          <w:tcW w:w="3635" w:type="dxa"/>
        </w:tcPr>
        <w:p w14:paraId="0F3B7C18" w14:textId="5E7552B1" w:rsidR="776CEF75" w:rsidRDefault="776CEF75" w:rsidP="776CEF75">
          <w:pPr>
            <w:pStyle w:val="af5"/>
            <w:ind w:left="-115"/>
          </w:pPr>
        </w:p>
      </w:tc>
      <w:tc>
        <w:tcPr>
          <w:tcW w:w="3635" w:type="dxa"/>
        </w:tcPr>
        <w:p w14:paraId="4B0CA22A" w14:textId="65070B5C" w:rsidR="776CEF75" w:rsidRDefault="776CEF75" w:rsidP="776CEF75">
          <w:pPr>
            <w:pStyle w:val="af5"/>
            <w:jc w:val="center"/>
          </w:pPr>
        </w:p>
      </w:tc>
      <w:tc>
        <w:tcPr>
          <w:tcW w:w="3635" w:type="dxa"/>
        </w:tcPr>
        <w:p w14:paraId="55DB76E1" w14:textId="0A93083F" w:rsidR="776CEF75" w:rsidRDefault="776CEF75" w:rsidP="776CEF75">
          <w:pPr>
            <w:pStyle w:val="af5"/>
            <w:ind w:right="-115"/>
            <w:jc w:val="right"/>
          </w:pPr>
        </w:p>
      </w:tc>
    </w:tr>
  </w:tbl>
  <w:p w14:paraId="295B6DE8" w14:textId="483EA163" w:rsidR="776CEF75" w:rsidRDefault="776CEF75" w:rsidP="776CEF7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6B41" w14:textId="77777777" w:rsidR="00DF514D" w:rsidRDefault="00DF514D" w:rsidP="00AE16E0">
      <w:pPr>
        <w:spacing w:after="0" w:line="240" w:lineRule="auto"/>
      </w:pPr>
      <w:r>
        <w:separator/>
      </w:r>
    </w:p>
  </w:footnote>
  <w:footnote w:type="continuationSeparator" w:id="0">
    <w:p w14:paraId="4B6BF3C1" w14:textId="77777777" w:rsidR="00DF514D" w:rsidRDefault="00DF514D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44253399"/>
      <w:docPartObj>
        <w:docPartGallery w:val="Page Numbers (Top of Page)"/>
        <w:docPartUnique/>
      </w:docPartObj>
    </w:sdtPr>
    <w:sdtEndPr/>
    <w:sdtContent>
      <w:p w14:paraId="70930BDA" w14:textId="77777777" w:rsidR="008E4368" w:rsidRPr="00A305C6" w:rsidRDefault="008E4368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5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5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550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E9F23F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73075F"/>
    <w:multiLevelType w:val="multilevel"/>
    <w:tmpl w:val="35B0EA68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376B1"/>
    <w:rsid w:val="00047DC9"/>
    <w:rsid w:val="00071412"/>
    <w:rsid w:val="00083784"/>
    <w:rsid w:val="00083C7C"/>
    <w:rsid w:val="000875D6"/>
    <w:rsid w:val="000C1F4E"/>
    <w:rsid w:val="000D4D9B"/>
    <w:rsid w:val="000F0EED"/>
    <w:rsid w:val="000F2506"/>
    <w:rsid w:val="000F2966"/>
    <w:rsid w:val="000F73F7"/>
    <w:rsid w:val="00103783"/>
    <w:rsid w:val="0011180F"/>
    <w:rsid w:val="00146797"/>
    <w:rsid w:val="001600C9"/>
    <w:rsid w:val="00160567"/>
    <w:rsid w:val="00162EEF"/>
    <w:rsid w:val="0016625B"/>
    <w:rsid w:val="00170874"/>
    <w:rsid w:val="00172781"/>
    <w:rsid w:val="001905D9"/>
    <w:rsid w:val="00194DB7"/>
    <w:rsid w:val="001A1529"/>
    <w:rsid w:val="001C1051"/>
    <w:rsid w:val="001C7DB8"/>
    <w:rsid w:val="001D4106"/>
    <w:rsid w:val="001D5DCC"/>
    <w:rsid w:val="001E0D84"/>
    <w:rsid w:val="002054CD"/>
    <w:rsid w:val="00206018"/>
    <w:rsid w:val="00214B3F"/>
    <w:rsid w:val="00237D9D"/>
    <w:rsid w:val="00241101"/>
    <w:rsid w:val="00257C3B"/>
    <w:rsid w:val="00265F04"/>
    <w:rsid w:val="00270836"/>
    <w:rsid w:val="00293D98"/>
    <w:rsid w:val="002A5C1D"/>
    <w:rsid w:val="002B0FBB"/>
    <w:rsid w:val="002E3252"/>
    <w:rsid w:val="002E3B09"/>
    <w:rsid w:val="002F6217"/>
    <w:rsid w:val="002F7C0A"/>
    <w:rsid w:val="00322F62"/>
    <w:rsid w:val="00341195"/>
    <w:rsid w:val="0035699D"/>
    <w:rsid w:val="00360F75"/>
    <w:rsid w:val="0036776C"/>
    <w:rsid w:val="00374A61"/>
    <w:rsid w:val="00383D57"/>
    <w:rsid w:val="00387C1B"/>
    <w:rsid w:val="00393AFF"/>
    <w:rsid w:val="003A01B3"/>
    <w:rsid w:val="003A7019"/>
    <w:rsid w:val="003C0769"/>
    <w:rsid w:val="003D115C"/>
    <w:rsid w:val="003D1BE7"/>
    <w:rsid w:val="003D5E76"/>
    <w:rsid w:val="003D67C3"/>
    <w:rsid w:val="003E0B6E"/>
    <w:rsid w:val="003E2069"/>
    <w:rsid w:val="003E7454"/>
    <w:rsid w:val="003F597B"/>
    <w:rsid w:val="00400717"/>
    <w:rsid w:val="004020C8"/>
    <w:rsid w:val="00410A70"/>
    <w:rsid w:val="00413C7F"/>
    <w:rsid w:val="00444AEF"/>
    <w:rsid w:val="00446872"/>
    <w:rsid w:val="00452B99"/>
    <w:rsid w:val="004552EC"/>
    <w:rsid w:val="004666C8"/>
    <w:rsid w:val="00476F44"/>
    <w:rsid w:val="0048165F"/>
    <w:rsid w:val="00490432"/>
    <w:rsid w:val="00491F9D"/>
    <w:rsid w:val="00492A41"/>
    <w:rsid w:val="004B77FA"/>
    <w:rsid w:val="004D1C59"/>
    <w:rsid w:val="004D7706"/>
    <w:rsid w:val="004F3FA1"/>
    <w:rsid w:val="00511ED1"/>
    <w:rsid w:val="0051481F"/>
    <w:rsid w:val="0055047C"/>
    <w:rsid w:val="00550F9B"/>
    <w:rsid w:val="005815C7"/>
    <w:rsid w:val="005900BE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C550B"/>
    <w:rsid w:val="005D589D"/>
    <w:rsid w:val="005F3BDC"/>
    <w:rsid w:val="0062604D"/>
    <w:rsid w:val="00640349"/>
    <w:rsid w:val="00644204"/>
    <w:rsid w:val="00653F9B"/>
    <w:rsid w:val="00661971"/>
    <w:rsid w:val="00672550"/>
    <w:rsid w:val="0067406D"/>
    <w:rsid w:val="00680496"/>
    <w:rsid w:val="00683DA0"/>
    <w:rsid w:val="00684C55"/>
    <w:rsid w:val="006878FE"/>
    <w:rsid w:val="006B7470"/>
    <w:rsid w:val="006C0229"/>
    <w:rsid w:val="006C7C41"/>
    <w:rsid w:val="006E36D6"/>
    <w:rsid w:val="006F1AB0"/>
    <w:rsid w:val="00717367"/>
    <w:rsid w:val="00732DFE"/>
    <w:rsid w:val="00733343"/>
    <w:rsid w:val="007531BA"/>
    <w:rsid w:val="00755BCE"/>
    <w:rsid w:val="00770702"/>
    <w:rsid w:val="00777151"/>
    <w:rsid w:val="00785385"/>
    <w:rsid w:val="007865FE"/>
    <w:rsid w:val="007959E1"/>
    <w:rsid w:val="00797068"/>
    <w:rsid w:val="007B01A8"/>
    <w:rsid w:val="007D4A4D"/>
    <w:rsid w:val="007F3AEE"/>
    <w:rsid w:val="007F6BA6"/>
    <w:rsid w:val="00800922"/>
    <w:rsid w:val="00802FD3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B5925"/>
    <w:rsid w:val="008D752E"/>
    <w:rsid w:val="008E4368"/>
    <w:rsid w:val="008F4BED"/>
    <w:rsid w:val="00907B2E"/>
    <w:rsid w:val="0091142D"/>
    <w:rsid w:val="00921EEA"/>
    <w:rsid w:val="00950D52"/>
    <w:rsid w:val="00957A81"/>
    <w:rsid w:val="00975FCA"/>
    <w:rsid w:val="00985515"/>
    <w:rsid w:val="00986BBE"/>
    <w:rsid w:val="009C1A5B"/>
    <w:rsid w:val="009C3E22"/>
    <w:rsid w:val="00A04F52"/>
    <w:rsid w:val="00A05F5B"/>
    <w:rsid w:val="00A0755F"/>
    <w:rsid w:val="00A1087F"/>
    <w:rsid w:val="00A1714A"/>
    <w:rsid w:val="00A23104"/>
    <w:rsid w:val="00A27B94"/>
    <w:rsid w:val="00A305C6"/>
    <w:rsid w:val="00A3695A"/>
    <w:rsid w:val="00A452C5"/>
    <w:rsid w:val="00A464A7"/>
    <w:rsid w:val="00A52B86"/>
    <w:rsid w:val="00A61B19"/>
    <w:rsid w:val="00A75ACC"/>
    <w:rsid w:val="00A807EF"/>
    <w:rsid w:val="00A82329"/>
    <w:rsid w:val="00A93896"/>
    <w:rsid w:val="00AA4A24"/>
    <w:rsid w:val="00AB461E"/>
    <w:rsid w:val="00AC72E8"/>
    <w:rsid w:val="00AE16E0"/>
    <w:rsid w:val="00AF3849"/>
    <w:rsid w:val="00AF3B16"/>
    <w:rsid w:val="00AF4A7F"/>
    <w:rsid w:val="00B157B6"/>
    <w:rsid w:val="00B40535"/>
    <w:rsid w:val="00B47FF7"/>
    <w:rsid w:val="00B570F7"/>
    <w:rsid w:val="00B60D35"/>
    <w:rsid w:val="00B64090"/>
    <w:rsid w:val="00B664E8"/>
    <w:rsid w:val="00B70D8D"/>
    <w:rsid w:val="00B903BB"/>
    <w:rsid w:val="00B93FF9"/>
    <w:rsid w:val="00BB6ECA"/>
    <w:rsid w:val="00BE33BF"/>
    <w:rsid w:val="00BF4188"/>
    <w:rsid w:val="00BF58D3"/>
    <w:rsid w:val="00BF6505"/>
    <w:rsid w:val="00C00B09"/>
    <w:rsid w:val="00C124CA"/>
    <w:rsid w:val="00C205D2"/>
    <w:rsid w:val="00C25643"/>
    <w:rsid w:val="00C27DF8"/>
    <w:rsid w:val="00C47F6D"/>
    <w:rsid w:val="00C5144D"/>
    <w:rsid w:val="00C717FB"/>
    <w:rsid w:val="00C74392"/>
    <w:rsid w:val="00C82C70"/>
    <w:rsid w:val="00CA0632"/>
    <w:rsid w:val="00CB58A3"/>
    <w:rsid w:val="00CD2136"/>
    <w:rsid w:val="00CE4399"/>
    <w:rsid w:val="00D10CFC"/>
    <w:rsid w:val="00D11CFD"/>
    <w:rsid w:val="00D228D0"/>
    <w:rsid w:val="00D36F1F"/>
    <w:rsid w:val="00D3773A"/>
    <w:rsid w:val="00D52315"/>
    <w:rsid w:val="00D6435E"/>
    <w:rsid w:val="00D81E35"/>
    <w:rsid w:val="00DA3162"/>
    <w:rsid w:val="00DA47A5"/>
    <w:rsid w:val="00DA495A"/>
    <w:rsid w:val="00DB5BA4"/>
    <w:rsid w:val="00DC7B0E"/>
    <w:rsid w:val="00DD3A4C"/>
    <w:rsid w:val="00DF514D"/>
    <w:rsid w:val="00E00C58"/>
    <w:rsid w:val="00E034D1"/>
    <w:rsid w:val="00E04918"/>
    <w:rsid w:val="00E24C1C"/>
    <w:rsid w:val="00E30D99"/>
    <w:rsid w:val="00E31718"/>
    <w:rsid w:val="00E3465F"/>
    <w:rsid w:val="00E36FBE"/>
    <w:rsid w:val="00E43F4A"/>
    <w:rsid w:val="00E44DB5"/>
    <w:rsid w:val="00E51D91"/>
    <w:rsid w:val="00E65976"/>
    <w:rsid w:val="00E728B7"/>
    <w:rsid w:val="00E80800"/>
    <w:rsid w:val="00E86730"/>
    <w:rsid w:val="00E92720"/>
    <w:rsid w:val="00E95483"/>
    <w:rsid w:val="00E95DE8"/>
    <w:rsid w:val="00EC01BC"/>
    <w:rsid w:val="00EC031E"/>
    <w:rsid w:val="00EE05C9"/>
    <w:rsid w:val="00EF4C01"/>
    <w:rsid w:val="00F0224F"/>
    <w:rsid w:val="00F32866"/>
    <w:rsid w:val="00F373F0"/>
    <w:rsid w:val="00F62E5D"/>
    <w:rsid w:val="00F71CFC"/>
    <w:rsid w:val="00FD1540"/>
    <w:rsid w:val="00FD199E"/>
    <w:rsid w:val="00FF278D"/>
    <w:rsid w:val="327B61D9"/>
    <w:rsid w:val="776C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04A7-6DB5-4B5B-A5A4-78CC17A4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2021-01-25T07:17:00Z</cp:lastPrinted>
  <dcterms:created xsi:type="dcterms:W3CDTF">2021-07-13T19:49:00Z</dcterms:created>
  <dcterms:modified xsi:type="dcterms:W3CDTF">2021-07-13T19:49:00Z</dcterms:modified>
</cp:coreProperties>
</file>